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9E433B" w14:textId="77777777" w:rsidR="00FA6565" w:rsidRDefault="00FA6565">
      <w:pPr>
        <w:pStyle w:val="normal0"/>
        <w:widowControl w:val="0"/>
        <w:spacing w:after="0"/>
      </w:pPr>
    </w:p>
    <w:tbl>
      <w:tblPr>
        <w:tblStyle w:val="a"/>
        <w:tblW w:w="859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872"/>
        <w:gridCol w:w="4722"/>
      </w:tblGrid>
      <w:tr w:rsidR="00FA6565" w14:paraId="79ED00D1" w14:textId="77777777">
        <w:tc>
          <w:tcPr>
            <w:tcW w:w="3872" w:type="dxa"/>
            <w:vAlign w:val="center"/>
          </w:tcPr>
          <w:p w14:paraId="35860799" w14:textId="77777777" w:rsidR="00FA6565" w:rsidRDefault="006032E0">
            <w:pPr>
              <w:pStyle w:val="normal0"/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assoc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{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Disciplina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ecoR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}         </w:t>
            </w:r>
          </w:p>
        </w:tc>
        <w:tc>
          <w:tcPr>
            <w:tcW w:w="4722" w:type="dxa"/>
            <w:vAlign w:val="center"/>
          </w:tcPr>
          <w:p w14:paraId="71DE5843" w14:textId="77777777" w:rsidR="00FA6565" w:rsidRDefault="006032E0">
            <w:pPr>
              <w:pStyle w:val="normal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Lucia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Carvalho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Neco</w:t>
            </w:r>
          </w:p>
        </w:tc>
      </w:tr>
    </w:tbl>
    <w:p w14:paraId="14454325" w14:textId="77777777" w:rsidR="00FA6565" w:rsidRDefault="006032E0">
      <w:pPr>
        <w:pStyle w:val="normal0"/>
        <w:spacing w:before="100" w:after="100"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>Teste</w:t>
      </w:r>
      <w:proofErr w:type="spellEnd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 xml:space="preserve"> de </w:t>
      </w:r>
      <w:proofErr w:type="spellStart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>significância</w:t>
      </w:r>
      <w:proofErr w:type="spellEnd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 xml:space="preserve"> da </w:t>
      </w:r>
      <w:proofErr w:type="spellStart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>associação</w:t>
      </w:r>
      <w:proofErr w:type="spellEnd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 xml:space="preserve"> de </w:t>
      </w:r>
      <w:proofErr w:type="spellStart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>indivíduos</w:t>
      </w:r>
      <w:proofErr w:type="spellEnd"/>
    </w:p>
    <w:p w14:paraId="402DA79A" w14:textId="77777777" w:rsidR="00FA6565" w:rsidRDefault="006032E0">
      <w:pPr>
        <w:pStyle w:val="normal0"/>
        <w:spacing w:before="100" w:after="100" w:line="240" w:lineRule="auto"/>
      </w:pPr>
      <w:proofErr w:type="spellStart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>Descrição</w:t>
      </w:r>
      <w:proofErr w:type="spellEnd"/>
    </w:p>
    <w:p w14:paraId="32838B86" w14:textId="77777777" w:rsidR="00FA6565" w:rsidRDefault="006032E0">
      <w:pPr>
        <w:pStyle w:val="normal0"/>
        <w:spacing w:before="100" w:after="100" w:line="240" w:lineRule="auto"/>
      </w:pPr>
      <w:bookmarkStart w:id="0" w:name="h.gjdgxs" w:colFirst="0" w:colLast="0"/>
      <w:bookmarkEnd w:id="0"/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função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assoc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executa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teste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significância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associações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indivíduos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grupo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social.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função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utiliza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teste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Monte Carlo 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desenvolvida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por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Manly)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adaptada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por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Bejder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(1998)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para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verificar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essa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significância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usando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um dos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três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tipos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índices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associação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: simple ratio index, half weight index e twice weight index.</w:t>
      </w:r>
    </w:p>
    <w:p w14:paraId="7B8C5F94" w14:textId="77777777" w:rsidR="00FA6565" w:rsidRDefault="00FA6565">
      <w:pPr>
        <w:pStyle w:val="normal0"/>
        <w:spacing w:before="100" w:after="100" w:line="240" w:lineRule="auto"/>
      </w:pPr>
    </w:p>
    <w:p w14:paraId="533BB10B" w14:textId="77777777" w:rsidR="00FA6565" w:rsidRDefault="006032E0">
      <w:pPr>
        <w:pStyle w:val="normal0"/>
        <w:spacing w:before="100" w:after="100" w:line="240" w:lineRule="auto"/>
      </w:pPr>
      <w:proofErr w:type="spellStart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>Uso</w:t>
      </w:r>
      <w:proofErr w:type="spellEnd"/>
    </w:p>
    <w:p w14:paraId="3403CBA3" w14:textId="77777777" w:rsidR="00FA6565" w:rsidRDefault="006032E0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proofErr w:type="gramStart"/>
      <w:r>
        <w:rPr>
          <w:rFonts w:ascii="Courier New" w:eastAsia="Courier New" w:hAnsi="Courier New" w:cs="Courier New"/>
          <w:sz w:val="20"/>
          <w:szCs w:val="20"/>
        </w:rPr>
        <w:t>assoc</w:t>
      </w:r>
      <w:proofErr w:type="spellEnd"/>
      <w:proofErr w:type="gramEnd"/>
      <w:r>
        <w:rPr>
          <w:rFonts w:ascii="Courier New" w:eastAsia="Courier New" w:hAnsi="Courier New" w:cs="Courier New"/>
          <w:sz w:val="20"/>
          <w:szCs w:val="20"/>
        </w:rPr>
        <w:t>(file, INDEX)</w:t>
      </w:r>
    </w:p>
    <w:p w14:paraId="10A8017D" w14:textId="77777777" w:rsidR="00FA6565" w:rsidRDefault="00FA6565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84DC0A6" w14:textId="77777777" w:rsidR="00FA6565" w:rsidRDefault="006032E0">
      <w:pPr>
        <w:pStyle w:val="normal0"/>
        <w:spacing w:before="100" w:after="100" w:line="240" w:lineRule="auto"/>
      </w:pPr>
      <w:proofErr w:type="spellStart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>Argumentos</w:t>
      </w:r>
      <w:proofErr w:type="spellEnd"/>
    </w:p>
    <w:tbl>
      <w:tblPr>
        <w:tblStyle w:val="a0"/>
        <w:tblW w:w="859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676"/>
        <w:gridCol w:w="7918"/>
      </w:tblGrid>
      <w:tr w:rsidR="00FA6565" w14:paraId="585D90B1" w14:textId="77777777">
        <w:tc>
          <w:tcPr>
            <w:tcW w:w="676" w:type="dxa"/>
          </w:tcPr>
          <w:p w14:paraId="79E46888" w14:textId="77777777" w:rsidR="00FA6565" w:rsidRDefault="006032E0">
            <w:pPr>
              <w:pStyle w:val="normal0"/>
              <w:spacing w:after="0" w:line="240" w:lineRule="auto"/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file</w:t>
            </w:r>
            <w:proofErr w:type="gramEnd"/>
          </w:p>
        </w:tc>
        <w:tc>
          <w:tcPr>
            <w:tcW w:w="7918" w:type="dxa"/>
          </w:tcPr>
          <w:p w14:paraId="4A8B2D81" w14:textId="77777777" w:rsidR="00FA6565" w:rsidRDefault="006032E0">
            <w:pPr>
              <w:pStyle w:val="normal0"/>
              <w:spacing w:before="100" w:after="10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objeto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dataframe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linhas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representam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grupos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identificados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nas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amostras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e as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colunas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representam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indivíduos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grupo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social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estudado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(1 se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neste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grupo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0 se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presentes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). A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primeira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coluna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dataframe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deve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conter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repetições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observações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respondente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aos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dados.</w:t>
            </w:r>
          </w:p>
        </w:tc>
      </w:tr>
      <w:tr w:rsidR="00FA6565" w14:paraId="77271A72" w14:textId="77777777">
        <w:tc>
          <w:tcPr>
            <w:tcW w:w="676" w:type="dxa"/>
          </w:tcPr>
          <w:p w14:paraId="1884C68C" w14:textId="77777777" w:rsidR="00FA6565" w:rsidRDefault="006032E0">
            <w:pPr>
              <w:pStyle w:val="normal0"/>
              <w:spacing w:after="0" w:line="240" w:lineRule="auto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INDEX</w:t>
            </w:r>
          </w:p>
        </w:tc>
        <w:tc>
          <w:tcPr>
            <w:tcW w:w="7918" w:type="dxa"/>
          </w:tcPr>
          <w:p w14:paraId="38C1A015" w14:textId="77777777" w:rsidR="00FA6565" w:rsidRDefault="006032E0">
            <w:pPr>
              <w:pStyle w:val="normal0"/>
              <w:spacing w:before="100" w:after="10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escolha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entre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três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índice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associação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presentes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“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sri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”(simple ratio index), “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hwi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” (half weight index), “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twi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”(twice weighted index):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cheque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Detalhes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”.</w:t>
            </w:r>
          </w:p>
        </w:tc>
      </w:tr>
      <w:tr w:rsidR="006032E0" w14:paraId="3BE2237E" w14:textId="77777777">
        <w:trPr>
          <w:gridAfter w:val="1"/>
          <w:wAfter w:w="7918" w:type="dxa"/>
        </w:trPr>
        <w:tc>
          <w:tcPr>
            <w:tcW w:w="676" w:type="dxa"/>
          </w:tcPr>
          <w:p w14:paraId="322E78EE" w14:textId="77777777" w:rsidR="006032E0" w:rsidRDefault="006032E0">
            <w:pPr>
              <w:pStyle w:val="normal0"/>
              <w:spacing w:after="0" w:line="240" w:lineRule="auto"/>
            </w:pPr>
          </w:p>
        </w:tc>
      </w:tr>
      <w:tr w:rsidR="00FA6565" w14:paraId="53C904A5" w14:textId="77777777">
        <w:tc>
          <w:tcPr>
            <w:tcW w:w="676" w:type="dxa"/>
          </w:tcPr>
          <w:p w14:paraId="6D787B3A" w14:textId="77777777" w:rsidR="00FA6565" w:rsidRDefault="00FA6565">
            <w:pPr>
              <w:pStyle w:val="normal0"/>
              <w:spacing w:after="0" w:line="240" w:lineRule="auto"/>
            </w:pPr>
          </w:p>
        </w:tc>
        <w:tc>
          <w:tcPr>
            <w:tcW w:w="7918" w:type="dxa"/>
          </w:tcPr>
          <w:p w14:paraId="421C53D6" w14:textId="77777777" w:rsidR="00FA6565" w:rsidRDefault="00FA6565">
            <w:pPr>
              <w:pStyle w:val="normal0"/>
              <w:spacing w:before="100" w:after="100" w:line="240" w:lineRule="auto"/>
            </w:pPr>
          </w:p>
        </w:tc>
      </w:tr>
    </w:tbl>
    <w:p w14:paraId="61C407DB" w14:textId="77777777" w:rsidR="00FA6565" w:rsidRDefault="006032E0">
      <w:pPr>
        <w:pStyle w:val="normal0"/>
        <w:spacing w:before="100" w:after="100" w:line="240" w:lineRule="auto"/>
      </w:pPr>
      <w:proofErr w:type="spellStart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>Detalhes</w:t>
      </w:r>
      <w:proofErr w:type="spellEnd"/>
    </w:p>
    <w:p w14:paraId="386E3533" w14:textId="77777777" w:rsidR="006032E0" w:rsidRPr="006032E0" w:rsidRDefault="006032E0" w:rsidP="006032E0">
      <w:pPr>
        <w:pStyle w:val="normal0"/>
        <w:spacing w:before="100" w:after="100"/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</w:pPr>
      <w:r w:rsidRPr="006032E0"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  <w:t>Use “</w:t>
      </w:r>
      <w:proofErr w:type="spellStart"/>
      <w:r w:rsidRPr="006032E0"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  <w:t>sri</w:t>
      </w:r>
      <w:proofErr w:type="spellEnd"/>
      <w:r w:rsidRPr="006032E0"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  <w:t>” em INDEX para associações em que o observador é capaz de localizar todos os indivíduos em cada repetição/observação.</w:t>
      </w:r>
    </w:p>
    <w:p w14:paraId="76FBBACB" w14:textId="77777777" w:rsidR="006032E0" w:rsidRPr="006032E0" w:rsidRDefault="006032E0" w:rsidP="006032E0">
      <w:pPr>
        <w:pStyle w:val="normal0"/>
        <w:spacing w:before="100" w:after="100"/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</w:pPr>
      <w:r w:rsidRPr="006032E0"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  <w:t>Use “</w:t>
      </w:r>
      <w:proofErr w:type="spellStart"/>
      <w:r w:rsidRPr="006032E0"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  <w:t>hwi</w:t>
      </w:r>
      <w:proofErr w:type="spellEnd"/>
      <w:r w:rsidRPr="006032E0"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  <w:t>” em INDEX se existe algum viés em localizar indivíduos em grupos diferentes.</w:t>
      </w:r>
    </w:p>
    <w:p w14:paraId="3239F2B6" w14:textId="77777777" w:rsidR="006032E0" w:rsidRPr="006032E0" w:rsidRDefault="006032E0" w:rsidP="006032E0">
      <w:pPr>
        <w:pStyle w:val="normal0"/>
        <w:spacing w:before="100" w:after="100"/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</w:pPr>
      <w:r w:rsidRPr="006032E0"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  <w:t>Use “</w:t>
      </w:r>
      <w:proofErr w:type="spellStart"/>
      <w:r w:rsidRPr="006032E0"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  <w:t>twi</w:t>
      </w:r>
      <w:proofErr w:type="spellEnd"/>
      <w:r w:rsidRPr="006032E0">
        <w:rPr>
          <w:rFonts w:ascii="Times New Roman" w:eastAsia="Times New Roman" w:hAnsi="Times New Roman" w:cs="Times New Roman"/>
          <w:color w:val="auto"/>
          <w:sz w:val="27"/>
          <w:szCs w:val="27"/>
          <w:lang w:val="pt-BR"/>
        </w:rPr>
        <w:t>” em INDEX se existe algum viés em localizar indivíduos quando estão juntos formando um grupo.</w:t>
      </w:r>
    </w:p>
    <w:p w14:paraId="7420F86C" w14:textId="77777777" w:rsidR="00FA6565" w:rsidRDefault="00FA6565">
      <w:pPr>
        <w:pStyle w:val="normal0"/>
        <w:spacing w:before="100" w:after="100" w:line="240" w:lineRule="auto"/>
      </w:pPr>
    </w:p>
    <w:p w14:paraId="2FE72BF0" w14:textId="77777777" w:rsidR="00FA6565" w:rsidRDefault="006032E0">
      <w:pPr>
        <w:pStyle w:val="normal0"/>
        <w:spacing w:before="100" w:after="100" w:line="240" w:lineRule="auto"/>
      </w:pPr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>Valor</w:t>
      </w:r>
    </w:p>
    <w:p w14:paraId="528D74D2" w14:textId="77777777" w:rsidR="00FA6565" w:rsidRDefault="006032E0">
      <w:pPr>
        <w:pStyle w:val="normal0"/>
        <w:spacing w:before="100" w:after="0" w:line="240" w:lineRule="auto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função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retorna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objeto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saída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tipo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lista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contendo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14:paraId="17C785F1" w14:textId="77777777" w:rsidR="00FA6565" w:rsidRDefault="006032E0">
      <w:pPr>
        <w:pStyle w:val="normal0"/>
        <w:spacing w:before="100" w:after="0" w:line="240" w:lineRule="auto"/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uma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matriz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os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valores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índices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associação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para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cada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par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indivíduos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presentes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dataframe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5C6A265F" w14:textId="77777777" w:rsidR="00FA6565" w:rsidRDefault="006032E0">
      <w:pPr>
        <w:pStyle w:val="normal0"/>
        <w:spacing w:before="100" w:after="0" w:line="240" w:lineRule="auto"/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uma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matriz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mesmo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tamanho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da anterior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contendo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probabilidade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cada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valor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associação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estar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incluído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uma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distribuição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randômica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interações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6F4EF0B6" w14:textId="77777777" w:rsidR="00FA6565" w:rsidRDefault="006032E0">
      <w:pPr>
        <w:pStyle w:val="normal0"/>
        <w:spacing w:before="100" w:after="100" w:line="240" w:lineRule="auto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um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histograma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com 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distribuição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frequência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associações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observadas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42756D07" w14:textId="77777777" w:rsidR="00FA6565" w:rsidRDefault="00FA6565">
      <w:pPr>
        <w:pStyle w:val="normal0"/>
        <w:spacing w:before="100" w:after="100" w:line="240" w:lineRule="auto"/>
      </w:pPr>
    </w:p>
    <w:p w14:paraId="2DE48993" w14:textId="77777777" w:rsidR="00FA6565" w:rsidRDefault="006032E0">
      <w:pPr>
        <w:pStyle w:val="normal0"/>
        <w:spacing w:before="100" w:after="100" w:line="240" w:lineRule="auto"/>
      </w:pPr>
      <w:proofErr w:type="spellStart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>Referências</w:t>
      </w:r>
      <w:proofErr w:type="spellEnd"/>
    </w:p>
    <w:p w14:paraId="337E92B0" w14:textId="77777777" w:rsidR="00FA6565" w:rsidRDefault="006032E0">
      <w:pPr>
        <w:pStyle w:val="normal0"/>
        <w:spacing w:before="100" w:after="100" w:line="240" w:lineRule="auto"/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Bejder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L., Fletcher, D., &amp;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Bräger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S. (1998).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A method for testing association patterns of social animals.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Animal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Behaviour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, 56(3), 719-725.</w:t>
      </w:r>
      <w:proofErr w:type="gramEnd"/>
    </w:p>
    <w:p w14:paraId="19CE2BF4" w14:textId="77777777" w:rsidR="00FA6565" w:rsidRDefault="006032E0">
      <w:pPr>
        <w:pStyle w:val="normal0"/>
        <w:spacing w:before="100" w:after="100" w:line="240" w:lineRule="auto"/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Croft, D.P., James, R. and Krause, J., 2008.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Exploring animal social networks.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Princeton University Press.</w:t>
      </w:r>
      <w:proofErr w:type="gramEnd"/>
    </w:p>
    <w:p w14:paraId="1578E418" w14:textId="77777777" w:rsidR="006032E0" w:rsidRDefault="006032E0">
      <w:pPr>
        <w:pStyle w:val="normal0"/>
        <w:spacing w:before="100" w:after="100" w:line="240" w:lineRule="auto"/>
        <w:rPr>
          <w:rFonts w:ascii="Courier New" w:eastAsia="Courier New" w:hAnsi="Courier New" w:cs="Courier New"/>
          <w:b/>
          <w:color w:val="666666"/>
          <w:sz w:val="36"/>
          <w:szCs w:val="36"/>
        </w:rPr>
      </w:pPr>
    </w:p>
    <w:p w14:paraId="59D325E3" w14:textId="77777777" w:rsidR="00FA6565" w:rsidRDefault="006032E0">
      <w:pPr>
        <w:pStyle w:val="normal0"/>
        <w:spacing w:before="100" w:after="100" w:line="240" w:lineRule="auto"/>
      </w:pPr>
      <w:proofErr w:type="spellStart"/>
      <w:r>
        <w:rPr>
          <w:rFonts w:ascii="Courier New" w:eastAsia="Courier New" w:hAnsi="Courier New" w:cs="Courier New"/>
          <w:b/>
          <w:color w:val="666666"/>
          <w:sz w:val="36"/>
          <w:szCs w:val="36"/>
        </w:rPr>
        <w:t>Exemplos</w:t>
      </w:r>
      <w:proofErr w:type="spellEnd"/>
    </w:p>
    <w:p w14:paraId="14616603" w14:textId="77777777" w:rsidR="00FA6565" w:rsidRDefault="00FA6565">
      <w:pPr>
        <w:pStyle w:val="normal0"/>
        <w:jc w:val="both"/>
      </w:pPr>
      <w:bookmarkStart w:id="1" w:name="_GoBack"/>
      <w:bookmarkEnd w:id="1"/>
    </w:p>
    <w:sectPr w:rsidR="00FA6565">
      <w:pgSz w:w="11906" w:h="16838"/>
      <w:pgMar w:top="1417" w:right="1701" w:bottom="1417" w:left="1701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6565"/>
    <w:rsid w:val="00272139"/>
    <w:rsid w:val="006032E0"/>
    <w:rsid w:val="00F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51B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1683</Characters>
  <Application>Microsoft Macintosh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Neco</cp:lastModifiedBy>
  <cp:revision>2</cp:revision>
  <dcterms:created xsi:type="dcterms:W3CDTF">2016-05-16T23:21:00Z</dcterms:created>
  <dcterms:modified xsi:type="dcterms:W3CDTF">2016-05-17T00:14:00Z</dcterms:modified>
</cp:coreProperties>
</file>